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B3" w:rsidRPr="00AD028E" w:rsidRDefault="00671BB3" w:rsidP="00671BB3">
      <w:pPr>
        <w:jc w:val="right"/>
        <w:rPr>
          <w:rFonts w:ascii="Arial" w:hAnsi="Arial" w:cs="Arial"/>
          <w:b/>
        </w:rPr>
      </w:pPr>
      <w:r w:rsidRPr="00AD028E">
        <w:rPr>
          <w:rFonts w:ascii="Arial" w:hAnsi="Arial" w:cs="Arial"/>
          <w:b/>
        </w:rPr>
        <w:t>São Bernardo do Campo, novembro de 2017.</w:t>
      </w:r>
    </w:p>
    <w:p w:rsidR="00AD028E" w:rsidRPr="00AD028E" w:rsidRDefault="00AD028E" w:rsidP="005E125C">
      <w:pPr>
        <w:jc w:val="both"/>
        <w:rPr>
          <w:rFonts w:ascii="Arial" w:hAnsi="Arial" w:cs="Arial"/>
          <w:sz w:val="2"/>
        </w:rPr>
      </w:pPr>
    </w:p>
    <w:p w:rsidR="00DB73BA" w:rsidRPr="00AD028E" w:rsidRDefault="006A0665" w:rsidP="00AD028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D028E">
        <w:rPr>
          <w:rFonts w:ascii="Arial" w:hAnsi="Arial" w:cs="Arial"/>
          <w:sz w:val="21"/>
          <w:szCs w:val="21"/>
        </w:rPr>
        <w:t xml:space="preserve">Nós, professores da </w:t>
      </w:r>
      <w:r w:rsidR="00AA3C35" w:rsidRPr="00AD028E">
        <w:rPr>
          <w:rFonts w:ascii="Arial" w:hAnsi="Arial" w:cs="Arial"/>
          <w:sz w:val="21"/>
          <w:szCs w:val="21"/>
        </w:rPr>
        <w:t>ETEC “Lauro Gomes”, abaixo assinados, reivindicamos que se cumpra o calendário escolar no que tange à atribuição de aulas referentes ao ano</w:t>
      </w:r>
      <w:r w:rsidR="00671BB3" w:rsidRPr="00AD028E">
        <w:rPr>
          <w:rFonts w:ascii="Arial" w:hAnsi="Arial" w:cs="Arial"/>
          <w:sz w:val="21"/>
          <w:szCs w:val="21"/>
        </w:rPr>
        <w:t xml:space="preserve"> letivo de 2018, a saber: dia 19</w:t>
      </w:r>
      <w:r w:rsidR="00AA3C35" w:rsidRPr="00AD028E">
        <w:rPr>
          <w:rFonts w:ascii="Arial" w:hAnsi="Arial" w:cs="Arial"/>
          <w:sz w:val="21"/>
          <w:szCs w:val="21"/>
        </w:rPr>
        <w:t xml:space="preserve"> de dezembro de 2017.</w:t>
      </w:r>
    </w:p>
    <w:p w:rsidR="00AA3C35" w:rsidRPr="00AD028E" w:rsidRDefault="00AA3C35" w:rsidP="00AD028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D028E">
        <w:rPr>
          <w:rFonts w:ascii="Arial" w:hAnsi="Arial" w:cs="Arial"/>
          <w:sz w:val="21"/>
          <w:szCs w:val="21"/>
        </w:rPr>
        <w:t xml:space="preserve">Os motivos que nos levam a este ATO de </w:t>
      </w:r>
      <w:r w:rsidRPr="00AD028E">
        <w:rPr>
          <w:rFonts w:ascii="Arial" w:hAnsi="Arial" w:cs="Arial"/>
          <w:b/>
          <w:sz w:val="21"/>
          <w:szCs w:val="21"/>
        </w:rPr>
        <w:t>URGÊNCIA</w:t>
      </w:r>
      <w:r w:rsidRPr="00AD028E">
        <w:rPr>
          <w:rFonts w:ascii="Arial" w:hAnsi="Arial" w:cs="Arial"/>
          <w:sz w:val="21"/>
          <w:szCs w:val="21"/>
        </w:rPr>
        <w:t xml:space="preserve"> e </w:t>
      </w:r>
      <w:r w:rsidRPr="00AD028E">
        <w:rPr>
          <w:rFonts w:ascii="Arial" w:hAnsi="Arial" w:cs="Arial"/>
          <w:b/>
          <w:sz w:val="21"/>
          <w:szCs w:val="21"/>
        </w:rPr>
        <w:t>E</w:t>
      </w:r>
      <w:r w:rsidR="005E125C" w:rsidRPr="00AD028E">
        <w:rPr>
          <w:rFonts w:ascii="Arial" w:hAnsi="Arial" w:cs="Arial"/>
          <w:b/>
          <w:sz w:val="21"/>
          <w:szCs w:val="21"/>
        </w:rPr>
        <w:t>X</w:t>
      </w:r>
      <w:r w:rsidRPr="00AD028E">
        <w:rPr>
          <w:rFonts w:ascii="Arial" w:hAnsi="Arial" w:cs="Arial"/>
          <w:b/>
          <w:sz w:val="21"/>
          <w:szCs w:val="21"/>
        </w:rPr>
        <w:t>TREMA NECESSIDADE</w:t>
      </w:r>
      <w:r w:rsidRPr="00AD028E">
        <w:rPr>
          <w:rFonts w:ascii="Arial" w:hAnsi="Arial" w:cs="Arial"/>
          <w:sz w:val="21"/>
          <w:szCs w:val="21"/>
        </w:rPr>
        <w:t xml:space="preserve"> configuram uma situação crítica de instabilidade financeira e emocional, prevendo-se um quadro caótico de demissão de docentes por conta do atraso no pro</w:t>
      </w:r>
      <w:r w:rsidR="005E125C" w:rsidRPr="00AD028E">
        <w:rPr>
          <w:rFonts w:ascii="Arial" w:hAnsi="Arial" w:cs="Arial"/>
          <w:sz w:val="21"/>
          <w:szCs w:val="21"/>
        </w:rPr>
        <w:t>cesso do Vestibulinho das ETECs para o ano de 2018.</w:t>
      </w:r>
    </w:p>
    <w:p w:rsidR="00AA3C35" w:rsidRPr="00AD028E" w:rsidRDefault="00AA3C35" w:rsidP="00AD028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D028E">
        <w:rPr>
          <w:rFonts w:ascii="Arial" w:hAnsi="Arial" w:cs="Arial"/>
          <w:sz w:val="21"/>
          <w:szCs w:val="21"/>
        </w:rPr>
        <w:t>O</w:t>
      </w:r>
      <w:r w:rsidR="005E125C" w:rsidRPr="00AD028E">
        <w:rPr>
          <w:rFonts w:ascii="Arial" w:hAnsi="Arial" w:cs="Arial"/>
          <w:sz w:val="21"/>
          <w:szCs w:val="21"/>
        </w:rPr>
        <w:t xml:space="preserve"> adiamento d</w:t>
      </w:r>
      <w:r w:rsidRPr="00AD028E">
        <w:rPr>
          <w:rFonts w:ascii="Arial" w:hAnsi="Arial" w:cs="Arial"/>
          <w:sz w:val="21"/>
          <w:szCs w:val="21"/>
        </w:rPr>
        <w:t>a atribuição de aulas nas ETECs, de dezembro</w:t>
      </w:r>
      <w:r w:rsidR="005E125C" w:rsidRPr="00AD028E">
        <w:rPr>
          <w:rFonts w:ascii="Arial" w:hAnsi="Arial" w:cs="Arial"/>
          <w:sz w:val="21"/>
          <w:szCs w:val="21"/>
        </w:rPr>
        <w:t xml:space="preserve"> de 2017</w:t>
      </w:r>
      <w:r w:rsidRPr="00AD028E">
        <w:rPr>
          <w:rFonts w:ascii="Arial" w:hAnsi="Arial" w:cs="Arial"/>
          <w:sz w:val="21"/>
          <w:szCs w:val="21"/>
        </w:rPr>
        <w:t xml:space="preserve"> para fevereiro</w:t>
      </w:r>
      <w:r w:rsidR="005E125C" w:rsidRPr="00AD028E">
        <w:rPr>
          <w:rFonts w:ascii="Arial" w:hAnsi="Arial" w:cs="Arial"/>
          <w:sz w:val="21"/>
          <w:szCs w:val="21"/>
        </w:rPr>
        <w:t xml:space="preserve"> de 2018</w:t>
      </w:r>
      <w:r w:rsidRPr="00AD028E">
        <w:rPr>
          <w:rFonts w:ascii="Arial" w:hAnsi="Arial" w:cs="Arial"/>
          <w:sz w:val="21"/>
          <w:szCs w:val="21"/>
        </w:rPr>
        <w:t>, provocará a perda do prazo de atribuição de aulas em outras esco</w:t>
      </w:r>
      <w:r w:rsidR="005E125C" w:rsidRPr="00AD028E">
        <w:rPr>
          <w:rFonts w:ascii="Arial" w:hAnsi="Arial" w:cs="Arial"/>
          <w:sz w:val="21"/>
          <w:szCs w:val="21"/>
        </w:rPr>
        <w:t>las, prática regular</w:t>
      </w:r>
      <w:r w:rsidRPr="00AD028E">
        <w:rPr>
          <w:rFonts w:ascii="Arial" w:hAnsi="Arial" w:cs="Arial"/>
          <w:sz w:val="21"/>
          <w:szCs w:val="21"/>
        </w:rPr>
        <w:t xml:space="preserve"> que ocorre no mês de dezembro, não permitindo ao professor completar sua carga horária ou assumir aulas em outras escol</w:t>
      </w:r>
      <w:r w:rsidR="005E125C" w:rsidRPr="00AD028E">
        <w:rPr>
          <w:rFonts w:ascii="Arial" w:hAnsi="Arial" w:cs="Arial"/>
          <w:sz w:val="21"/>
          <w:szCs w:val="21"/>
        </w:rPr>
        <w:t xml:space="preserve">as em caso de </w:t>
      </w:r>
      <w:r w:rsidRPr="00AD028E">
        <w:rPr>
          <w:rFonts w:ascii="Arial" w:hAnsi="Arial" w:cs="Arial"/>
          <w:sz w:val="21"/>
          <w:szCs w:val="21"/>
        </w:rPr>
        <w:t>redução de</w:t>
      </w:r>
      <w:r w:rsidR="005E125C" w:rsidRPr="00AD028E">
        <w:rPr>
          <w:rFonts w:ascii="Arial" w:hAnsi="Arial" w:cs="Arial"/>
          <w:sz w:val="21"/>
          <w:szCs w:val="21"/>
        </w:rPr>
        <w:t xml:space="preserve"> sua </w:t>
      </w:r>
      <w:r w:rsidRPr="00AD028E">
        <w:rPr>
          <w:rFonts w:ascii="Arial" w:hAnsi="Arial" w:cs="Arial"/>
          <w:sz w:val="21"/>
          <w:szCs w:val="21"/>
        </w:rPr>
        <w:t xml:space="preserve">carga no CEETEPS ou mesmo demissão por falta de formação de turmas, </w:t>
      </w:r>
      <w:r w:rsidR="005E125C" w:rsidRPr="00AD028E">
        <w:rPr>
          <w:rFonts w:ascii="Arial" w:hAnsi="Arial" w:cs="Arial"/>
          <w:sz w:val="21"/>
          <w:szCs w:val="21"/>
        </w:rPr>
        <w:t>já que</w:t>
      </w:r>
      <w:r w:rsidRPr="00AD028E">
        <w:rPr>
          <w:rFonts w:ascii="Arial" w:hAnsi="Arial" w:cs="Arial"/>
          <w:sz w:val="21"/>
          <w:szCs w:val="21"/>
        </w:rPr>
        <w:t xml:space="preserve"> os alunos costumam realizar suas matrículas escolares no mês de janeiro, garantindo suas vagas em outras escolas</w:t>
      </w:r>
      <w:r w:rsidR="005E125C" w:rsidRPr="00AD028E">
        <w:rPr>
          <w:rFonts w:ascii="Arial" w:hAnsi="Arial" w:cs="Arial"/>
          <w:sz w:val="21"/>
          <w:szCs w:val="21"/>
        </w:rPr>
        <w:t>, sendo que a previsão para formação da mesma quantidade de turmas nas ETECs é sem base alguma, visto que o Vestibulinho será realizado apenas dia 21 de janeiro de 2018 e as matrículas a partir de 06 de fevereiro.</w:t>
      </w:r>
    </w:p>
    <w:p w:rsidR="00AD028E" w:rsidRPr="00AD028E" w:rsidRDefault="00AD028E" w:rsidP="00AD028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D028E">
        <w:rPr>
          <w:rFonts w:ascii="Arial" w:hAnsi="Arial" w:cs="Arial"/>
          <w:sz w:val="21"/>
          <w:szCs w:val="21"/>
        </w:rPr>
        <w:t xml:space="preserve">Como não somos terceirizados nem autônomos, muito menos responsáveis pela alteração de calendário do Vestibulinho, mas somente funcionários com vínculos empregatícios e na condição especial de docentes que dependem da atribuição de aulas no mês de dezembro a fim de garantir o salário para subsistência, em tempo hábil para ampliar ou buscar aulas em outras escolas, solicitamos imediatas providências, sem o que recorreremos a um Mandado de Segurança em cumprimento à data de Atribuição de Aulas nas </w:t>
      </w:r>
      <w:proofErr w:type="spellStart"/>
      <w:r w:rsidRPr="00AD028E">
        <w:rPr>
          <w:rFonts w:ascii="Arial" w:hAnsi="Arial" w:cs="Arial"/>
          <w:sz w:val="21"/>
          <w:szCs w:val="21"/>
        </w:rPr>
        <w:t>ETECs</w:t>
      </w:r>
      <w:proofErr w:type="spellEnd"/>
      <w:r w:rsidRPr="00AD028E">
        <w:rPr>
          <w:rFonts w:ascii="Arial" w:hAnsi="Arial" w:cs="Arial"/>
          <w:sz w:val="21"/>
          <w:szCs w:val="21"/>
        </w:rPr>
        <w:t>, garantindo a carga horária docente para o ano de 2018.</w:t>
      </w:r>
    </w:p>
    <w:p w:rsidR="00AD028E" w:rsidRDefault="00AD028E" w:rsidP="00AD028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D028E" w:rsidRPr="00C179DB" w:rsidRDefault="00AD028E" w:rsidP="00AD028E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24"/>
        <w:gridCol w:w="2373"/>
        <w:gridCol w:w="2947"/>
      </w:tblGrid>
      <w:tr w:rsidR="00671BB3" w:rsidTr="007508B8">
        <w:tc>
          <w:tcPr>
            <w:tcW w:w="4077" w:type="dxa"/>
          </w:tcPr>
          <w:p w:rsidR="00671BB3" w:rsidRDefault="00671BB3" w:rsidP="005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PROFESSOR</w:t>
            </w:r>
          </w:p>
        </w:tc>
        <w:tc>
          <w:tcPr>
            <w:tcW w:w="2410" w:type="dxa"/>
          </w:tcPr>
          <w:p w:rsidR="00671BB3" w:rsidRDefault="00671BB3" w:rsidP="005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2977" w:type="dxa"/>
          </w:tcPr>
          <w:p w:rsidR="00671BB3" w:rsidRDefault="00671BB3" w:rsidP="005E12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671BB3" w:rsidTr="007508B8">
        <w:tc>
          <w:tcPr>
            <w:tcW w:w="40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671BB3" w:rsidTr="007508B8">
        <w:tc>
          <w:tcPr>
            <w:tcW w:w="40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671BB3" w:rsidTr="007508B8">
        <w:tc>
          <w:tcPr>
            <w:tcW w:w="40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671BB3" w:rsidTr="007508B8">
        <w:tc>
          <w:tcPr>
            <w:tcW w:w="40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671BB3" w:rsidTr="007508B8">
        <w:tc>
          <w:tcPr>
            <w:tcW w:w="40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671BB3" w:rsidTr="007508B8">
        <w:tc>
          <w:tcPr>
            <w:tcW w:w="40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671BB3" w:rsidTr="007508B8">
        <w:tc>
          <w:tcPr>
            <w:tcW w:w="40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671BB3" w:rsidTr="007508B8">
        <w:tc>
          <w:tcPr>
            <w:tcW w:w="40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671BB3" w:rsidRPr="00671BB3" w:rsidRDefault="00671BB3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FA12A2" w:rsidTr="007508B8">
        <w:tc>
          <w:tcPr>
            <w:tcW w:w="4077" w:type="dxa"/>
          </w:tcPr>
          <w:p w:rsidR="00FA12A2" w:rsidRPr="00671BB3" w:rsidRDefault="00FA12A2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FA12A2" w:rsidRPr="00671BB3" w:rsidRDefault="00FA12A2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FA12A2" w:rsidRPr="00671BB3" w:rsidRDefault="00FA12A2" w:rsidP="005E125C">
            <w:pPr>
              <w:jc w:val="both"/>
              <w:rPr>
                <w:sz w:val="40"/>
                <w:szCs w:val="50"/>
              </w:rPr>
            </w:pPr>
          </w:p>
        </w:tc>
      </w:tr>
      <w:tr w:rsidR="007508B8" w:rsidTr="007508B8">
        <w:tc>
          <w:tcPr>
            <w:tcW w:w="4077" w:type="dxa"/>
          </w:tcPr>
          <w:p w:rsidR="007508B8" w:rsidRPr="00671BB3" w:rsidRDefault="007508B8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410" w:type="dxa"/>
          </w:tcPr>
          <w:p w:rsidR="007508B8" w:rsidRPr="00671BB3" w:rsidRDefault="007508B8" w:rsidP="005E125C">
            <w:pPr>
              <w:jc w:val="both"/>
              <w:rPr>
                <w:sz w:val="40"/>
                <w:szCs w:val="50"/>
              </w:rPr>
            </w:pPr>
          </w:p>
        </w:tc>
        <w:tc>
          <w:tcPr>
            <w:tcW w:w="2977" w:type="dxa"/>
          </w:tcPr>
          <w:p w:rsidR="007508B8" w:rsidRPr="00671BB3" w:rsidRDefault="007508B8" w:rsidP="005E125C">
            <w:pPr>
              <w:jc w:val="both"/>
              <w:rPr>
                <w:sz w:val="40"/>
                <w:szCs w:val="50"/>
              </w:rPr>
            </w:pPr>
          </w:p>
        </w:tc>
      </w:tr>
    </w:tbl>
    <w:p w:rsidR="006676E0" w:rsidRPr="00671BB3" w:rsidRDefault="00671BB3" w:rsidP="005E125C">
      <w:pPr>
        <w:jc w:val="both"/>
        <w:rPr>
          <w:sz w:val="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sectPr w:rsidR="006676E0" w:rsidRPr="00671BB3" w:rsidSect="007508B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35"/>
    <w:rsid w:val="00380371"/>
    <w:rsid w:val="005D0246"/>
    <w:rsid w:val="005E125C"/>
    <w:rsid w:val="006676E0"/>
    <w:rsid w:val="00671BB3"/>
    <w:rsid w:val="006A0665"/>
    <w:rsid w:val="007508B8"/>
    <w:rsid w:val="008B58F5"/>
    <w:rsid w:val="00AA3C35"/>
    <w:rsid w:val="00AD028E"/>
    <w:rsid w:val="00AF24F3"/>
    <w:rsid w:val="00DB73BA"/>
    <w:rsid w:val="00FA12A2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B787-2BD9-4F00-8BA4-E459AF2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Bahiji Haje</cp:lastModifiedBy>
  <cp:revision>3</cp:revision>
  <dcterms:created xsi:type="dcterms:W3CDTF">2017-11-13T19:16:00Z</dcterms:created>
  <dcterms:modified xsi:type="dcterms:W3CDTF">2017-11-14T13:48:00Z</dcterms:modified>
</cp:coreProperties>
</file>